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F75" w:rsidRDefault="005C5A8C">
      <w:pPr>
        <w:ind w:left="32"/>
        <w:rPr>
          <w:sz w:val="20"/>
          <w:szCs w:val="20"/>
        </w:rPr>
      </w:pPr>
      <w:r>
        <w:rPr>
          <w:noProof/>
          <w:lang w:eastAsia="it-IT"/>
        </w:rPr>
        <mc:AlternateContent>
          <mc:Choice Requires="wps">
            <w:drawing>
              <wp:inline distT="0" distB="0" distL="0" distR="0" wp14:anchorId="249D14A8">
                <wp:extent cx="6355715" cy="627380"/>
                <wp:effectExtent l="0" t="0" r="7620" b="1270"/>
                <wp:docPr id="1" name="Cornice1"/>
                <wp:cNvGraphicFramePr/>
                <a:graphic xmlns:a="http://schemas.openxmlformats.org/drawingml/2006/main">
                  <a:graphicData uri="http://schemas.microsoft.com/office/word/2010/wordprocessingShape">
                    <wps:wsp>
                      <wps:cNvSpPr/>
                      <wps:spPr>
                        <a:xfrm>
                          <a:off x="0" y="0"/>
                          <a:ext cx="6355800" cy="627480"/>
                        </a:xfrm>
                        <a:prstGeom prst="rect">
                          <a:avLst/>
                        </a:prstGeom>
                        <a:solidFill>
                          <a:srgbClr val="DBE4F0"/>
                        </a:solidFill>
                        <a:ln w="6350">
                          <a:solidFill>
                            <a:srgbClr val="000000"/>
                          </a:solidFill>
                          <a:round/>
                        </a:ln>
                      </wps:spPr>
                      <wps:style>
                        <a:lnRef idx="0">
                          <a:scrgbClr r="0" g="0" b="0"/>
                        </a:lnRef>
                        <a:fillRef idx="0">
                          <a:scrgbClr r="0" g="0" b="0"/>
                        </a:fillRef>
                        <a:effectRef idx="0">
                          <a:scrgbClr r="0" g="0" b="0"/>
                        </a:effectRef>
                        <a:fontRef idx="minor"/>
                      </wps:style>
                      <wps:txbx>
                        <w:txbxContent>
                          <w:p w:rsidR="00D54F75" w:rsidRDefault="005C5A8C">
                            <w:pPr>
                              <w:pStyle w:val="Contenutocornice"/>
                              <w:spacing w:before="26" w:line="250" w:lineRule="auto"/>
                              <w:ind w:right="6"/>
                              <w:jc w:val="center"/>
                              <w:rPr>
                                <w:b/>
                                <w:color w:val="000000"/>
                                <w:sz w:val="20"/>
                              </w:rPr>
                            </w:pPr>
                            <w:r>
                              <w:rPr>
                                <w:b/>
                                <w:color w:val="000000"/>
                                <w:spacing w:val="-2"/>
                                <w:w w:val="105"/>
                                <w:sz w:val="20"/>
                              </w:rPr>
                              <w:t>APPALTO</w:t>
                            </w:r>
                            <w:r>
                              <w:rPr>
                                <w:b/>
                                <w:color w:val="000000"/>
                                <w:spacing w:val="-8"/>
                                <w:w w:val="105"/>
                                <w:sz w:val="20"/>
                              </w:rPr>
                              <w:t xml:space="preserve"> </w:t>
                            </w:r>
                            <w:r>
                              <w:rPr>
                                <w:b/>
                                <w:color w:val="000000"/>
                                <w:spacing w:val="-2"/>
                                <w:w w:val="105"/>
                                <w:sz w:val="20"/>
                              </w:rPr>
                              <w:t>PER</w:t>
                            </w:r>
                            <w:r>
                              <w:rPr>
                                <w:b/>
                                <w:color w:val="000000"/>
                                <w:spacing w:val="-10"/>
                                <w:w w:val="105"/>
                                <w:sz w:val="20"/>
                              </w:rPr>
                              <w:t xml:space="preserve"> </w:t>
                            </w:r>
                            <w:r>
                              <w:rPr>
                                <w:b/>
                                <w:color w:val="000000"/>
                                <w:spacing w:val="-2"/>
                                <w:w w:val="105"/>
                                <w:sz w:val="20"/>
                              </w:rPr>
                              <w:t>IL</w:t>
                            </w:r>
                            <w:r>
                              <w:rPr>
                                <w:b/>
                                <w:color w:val="000000"/>
                                <w:spacing w:val="-9"/>
                                <w:w w:val="105"/>
                                <w:sz w:val="20"/>
                              </w:rPr>
                              <w:t xml:space="preserve"> </w:t>
                            </w:r>
                            <w:r>
                              <w:rPr>
                                <w:b/>
                                <w:color w:val="000000"/>
                                <w:spacing w:val="-2"/>
                                <w:w w:val="105"/>
                                <w:sz w:val="20"/>
                              </w:rPr>
                              <w:t>SERVIZIO</w:t>
                            </w:r>
                            <w:r>
                              <w:rPr>
                                <w:b/>
                                <w:color w:val="000000"/>
                                <w:spacing w:val="-7"/>
                                <w:w w:val="105"/>
                                <w:sz w:val="20"/>
                              </w:rPr>
                              <w:t xml:space="preserve"> </w:t>
                            </w:r>
                            <w:r>
                              <w:rPr>
                                <w:b/>
                                <w:color w:val="000000"/>
                                <w:spacing w:val="-2"/>
                                <w:w w:val="105"/>
                                <w:sz w:val="20"/>
                              </w:rPr>
                              <w:t>DI</w:t>
                            </w:r>
                            <w:r>
                              <w:rPr>
                                <w:b/>
                                <w:color w:val="000000"/>
                                <w:spacing w:val="-11"/>
                                <w:w w:val="105"/>
                                <w:sz w:val="20"/>
                              </w:rPr>
                              <w:t xml:space="preserve"> </w:t>
                            </w:r>
                            <w:r>
                              <w:rPr>
                                <w:b/>
                                <w:color w:val="000000"/>
                                <w:spacing w:val="-2"/>
                                <w:w w:val="105"/>
                                <w:sz w:val="20"/>
                              </w:rPr>
                              <w:t>CONSULENZA</w:t>
                            </w:r>
                            <w:r>
                              <w:rPr>
                                <w:b/>
                                <w:color w:val="000000"/>
                                <w:spacing w:val="-12"/>
                                <w:w w:val="105"/>
                                <w:sz w:val="20"/>
                              </w:rPr>
                              <w:t xml:space="preserve"> </w:t>
                            </w:r>
                            <w:r>
                              <w:rPr>
                                <w:b/>
                                <w:color w:val="000000"/>
                                <w:spacing w:val="-2"/>
                                <w:w w:val="105"/>
                                <w:sz w:val="20"/>
                              </w:rPr>
                              <w:t>E</w:t>
                            </w:r>
                            <w:r>
                              <w:rPr>
                                <w:b/>
                                <w:color w:val="000000"/>
                                <w:spacing w:val="-5"/>
                                <w:w w:val="105"/>
                                <w:sz w:val="20"/>
                              </w:rPr>
                              <w:t xml:space="preserve"> </w:t>
                            </w:r>
                            <w:r>
                              <w:rPr>
                                <w:b/>
                                <w:color w:val="000000"/>
                                <w:spacing w:val="-2"/>
                                <w:w w:val="105"/>
                                <w:sz w:val="20"/>
                              </w:rPr>
                              <w:t>BROKERAGGIO</w:t>
                            </w:r>
                            <w:r>
                              <w:rPr>
                                <w:b/>
                                <w:color w:val="000000"/>
                                <w:spacing w:val="-7"/>
                                <w:w w:val="105"/>
                                <w:sz w:val="20"/>
                              </w:rPr>
                              <w:t xml:space="preserve"> </w:t>
                            </w:r>
                            <w:r>
                              <w:rPr>
                                <w:b/>
                                <w:color w:val="000000"/>
                                <w:spacing w:val="-2"/>
                                <w:w w:val="105"/>
                                <w:sz w:val="20"/>
                              </w:rPr>
                              <w:t xml:space="preserve">ASSICURATIVO </w:t>
                            </w:r>
                            <w:r>
                              <w:rPr>
                                <w:b/>
                                <w:color w:val="000000"/>
                                <w:w w:val="105"/>
                                <w:sz w:val="20"/>
                              </w:rPr>
                              <w:t>PERIODO 2027-2030 (ANNI 4 DALLA DATA DI AGGIUDICAZIONE)</w:t>
                            </w:r>
                          </w:p>
                          <w:p w:rsidR="00D54F75" w:rsidRDefault="00D54F75">
                            <w:pPr>
                              <w:pStyle w:val="Corpotesto"/>
                              <w:spacing w:before="6"/>
                              <w:jc w:val="left"/>
                              <w:rPr>
                                <w:b/>
                                <w:color w:val="000000"/>
                              </w:rPr>
                            </w:pPr>
                          </w:p>
                          <w:p w:rsidR="00D54F75" w:rsidRDefault="005C5A8C">
                            <w:pPr>
                              <w:pStyle w:val="Contenutocornice"/>
                              <w:ind w:left="5" w:right="6"/>
                              <w:jc w:val="center"/>
                              <w:rPr>
                                <w:b/>
                                <w:color w:val="000000"/>
                                <w:sz w:val="20"/>
                              </w:rPr>
                            </w:pPr>
                            <w:r>
                              <w:rPr>
                                <w:b/>
                                <w:color w:val="000000"/>
                                <w:sz w:val="20"/>
                              </w:rPr>
                              <w:t>RELAZIONE</w:t>
                            </w:r>
                            <w:r>
                              <w:rPr>
                                <w:b/>
                                <w:color w:val="000000"/>
                                <w:spacing w:val="20"/>
                                <w:sz w:val="20"/>
                              </w:rPr>
                              <w:t xml:space="preserve"> </w:t>
                            </w:r>
                            <w:r>
                              <w:rPr>
                                <w:b/>
                                <w:color w:val="000000"/>
                                <w:sz w:val="20"/>
                              </w:rPr>
                              <w:t>TECNICO</w:t>
                            </w:r>
                            <w:r>
                              <w:rPr>
                                <w:b/>
                                <w:color w:val="000000"/>
                                <w:spacing w:val="26"/>
                                <w:sz w:val="20"/>
                              </w:rPr>
                              <w:t xml:space="preserve"> </w:t>
                            </w:r>
                            <w:r>
                              <w:rPr>
                                <w:b/>
                                <w:color w:val="000000"/>
                                <w:sz w:val="20"/>
                              </w:rPr>
                              <w:t>–</w:t>
                            </w:r>
                            <w:r>
                              <w:rPr>
                                <w:b/>
                                <w:color w:val="000000"/>
                                <w:spacing w:val="18"/>
                                <w:sz w:val="20"/>
                              </w:rPr>
                              <w:t xml:space="preserve"> </w:t>
                            </w:r>
                            <w:r>
                              <w:rPr>
                                <w:b/>
                                <w:color w:val="000000"/>
                                <w:spacing w:val="-2"/>
                                <w:sz w:val="20"/>
                              </w:rPr>
                              <w:t>ILLUSTRATIVA</w:t>
                            </w:r>
                          </w:p>
                        </w:txbxContent>
                      </wps:txbx>
                      <wps:bodyPr lIns="0" tIns="0" rIns="0" bIns="0" anchor="t">
                        <a:noAutofit/>
                      </wps:bodyPr>
                    </wps:wsp>
                  </a:graphicData>
                </a:graphic>
              </wp:inline>
            </w:drawing>
          </mc:Choice>
          <mc:Fallback>
            <w:pict>
              <v:rect w14:anchorId="249D14A8" id="Cornice1" o:spid="_x0000_s1026" style="width:500.45pt;height:4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" fillcolor="#dbe4f0" strokeweight=".5pt">
                <v:stroke joinstyle="round"/>
                <v:textbox inset="0,0,0,0">
                  <w:txbxContent>
                    <w:p w:rsidR="00D54F75" w:rsidRDefault="005C5A8C">
                      <w:pPr>
                        <w:pStyle w:val="Contenutocornice"/>
                        <w:spacing w:before="26" w:line="250" w:lineRule="auto"/>
                        <w:ind w:right="6"/>
                        <w:jc w:val="center"/>
                        <w:rPr>
                          <w:b/>
                          <w:color w:val="000000"/>
                          <w:sz w:val="20"/>
                        </w:rPr>
                      </w:pPr>
                      <w:r>
                        <w:rPr>
                          <w:b/>
                          <w:color w:val="000000"/>
                          <w:spacing w:val="-2"/>
                          <w:w w:val="105"/>
                          <w:sz w:val="20"/>
                        </w:rPr>
                        <w:t>APPALTO</w:t>
                      </w:r>
                      <w:r>
                        <w:rPr>
                          <w:b/>
                          <w:color w:val="000000"/>
                          <w:spacing w:val="-8"/>
                          <w:w w:val="105"/>
                          <w:sz w:val="20"/>
                        </w:rPr>
                        <w:t xml:space="preserve"> </w:t>
                      </w:r>
                      <w:r>
                        <w:rPr>
                          <w:b/>
                          <w:color w:val="000000"/>
                          <w:spacing w:val="-2"/>
                          <w:w w:val="105"/>
                          <w:sz w:val="20"/>
                        </w:rPr>
                        <w:t>PER</w:t>
                      </w:r>
                      <w:r>
                        <w:rPr>
                          <w:b/>
                          <w:color w:val="000000"/>
                          <w:spacing w:val="-10"/>
                          <w:w w:val="105"/>
                          <w:sz w:val="20"/>
                        </w:rPr>
                        <w:t xml:space="preserve"> </w:t>
                      </w:r>
                      <w:r>
                        <w:rPr>
                          <w:b/>
                          <w:color w:val="000000"/>
                          <w:spacing w:val="-2"/>
                          <w:w w:val="105"/>
                          <w:sz w:val="20"/>
                        </w:rPr>
                        <w:t>IL</w:t>
                      </w:r>
                      <w:r>
                        <w:rPr>
                          <w:b/>
                          <w:color w:val="000000"/>
                          <w:spacing w:val="-9"/>
                          <w:w w:val="105"/>
                          <w:sz w:val="20"/>
                        </w:rPr>
                        <w:t xml:space="preserve"> </w:t>
                      </w:r>
                      <w:r>
                        <w:rPr>
                          <w:b/>
                          <w:color w:val="000000"/>
                          <w:spacing w:val="-2"/>
                          <w:w w:val="105"/>
                          <w:sz w:val="20"/>
                        </w:rPr>
                        <w:t>SERVIZIO</w:t>
                      </w:r>
                      <w:r>
                        <w:rPr>
                          <w:b/>
                          <w:color w:val="000000"/>
                          <w:spacing w:val="-7"/>
                          <w:w w:val="105"/>
                          <w:sz w:val="20"/>
                        </w:rPr>
                        <w:t xml:space="preserve"> </w:t>
                      </w:r>
                      <w:r>
                        <w:rPr>
                          <w:b/>
                          <w:color w:val="000000"/>
                          <w:spacing w:val="-2"/>
                          <w:w w:val="105"/>
                          <w:sz w:val="20"/>
                        </w:rPr>
                        <w:t>DI</w:t>
                      </w:r>
                      <w:r>
                        <w:rPr>
                          <w:b/>
                          <w:color w:val="000000"/>
                          <w:spacing w:val="-11"/>
                          <w:w w:val="105"/>
                          <w:sz w:val="20"/>
                        </w:rPr>
                        <w:t xml:space="preserve"> </w:t>
                      </w:r>
                      <w:r>
                        <w:rPr>
                          <w:b/>
                          <w:color w:val="000000"/>
                          <w:spacing w:val="-2"/>
                          <w:w w:val="105"/>
                          <w:sz w:val="20"/>
                        </w:rPr>
                        <w:t>CONSULENZA</w:t>
                      </w:r>
                      <w:r>
                        <w:rPr>
                          <w:b/>
                          <w:color w:val="000000"/>
                          <w:spacing w:val="-12"/>
                          <w:w w:val="105"/>
                          <w:sz w:val="20"/>
                        </w:rPr>
                        <w:t xml:space="preserve"> </w:t>
                      </w:r>
                      <w:r>
                        <w:rPr>
                          <w:b/>
                          <w:color w:val="000000"/>
                          <w:spacing w:val="-2"/>
                          <w:w w:val="105"/>
                          <w:sz w:val="20"/>
                        </w:rPr>
                        <w:t>E</w:t>
                      </w:r>
                      <w:r>
                        <w:rPr>
                          <w:b/>
                          <w:color w:val="000000"/>
                          <w:spacing w:val="-5"/>
                          <w:w w:val="105"/>
                          <w:sz w:val="20"/>
                        </w:rPr>
                        <w:t xml:space="preserve"> </w:t>
                      </w:r>
                      <w:r>
                        <w:rPr>
                          <w:b/>
                          <w:color w:val="000000"/>
                          <w:spacing w:val="-2"/>
                          <w:w w:val="105"/>
                          <w:sz w:val="20"/>
                        </w:rPr>
                        <w:t>BROKERAGGIO</w:t>
                      </w:r>
                      <w:r>
                        <w:rPr>
                          <w:b/>
                          <w:color w:val="000000"/>
                          <w:spacing w:val="-7"/>
                          <w:w w:val="105"/>
                          <w:sz w:val="20"/>
                        </w:rPr>
                        <w:t xml:space="preserve"> </w:t>
                      </w:r>
                      <w:r>
                        <w:rPr>
                          <w:b/>
                          <w:color w:val="000000"/>
                          <w:spacing w:val="-2"/>
                          <w:w w:val="105"/>
                          <w:sz w:val="20"/>
                        </w:rPr>
                        <w:t xml:space="preserve">ASSICURATIVO </w:t>
                      </w:r>
                      <w:r>
                        <w:rPr>
                          <w:b/>
                          <w:color w:val="000000"/>
                          <w:w w:val="105"/>
                          <w:sz w:val="20"/>
                        </w:rPr>
                        <w:t>PERIODO 2027-2030 (ANNI 4 DALLA DATA DI AGGIUDICAZIONE)</w:t>
                      </w:r>
                    </w:p>
                    <w:p w:rsidR="00D54F75" w:rsidRDefault="00D54F75">
                      <w:pPr>
                        <w:pStyle w:val="Corpotesto"/>
                        <w:spacing w:before="6"/>
                        <w:jc w:val="left"/>
                        <w:rPr>
                          <w:b/>
                          <w:color w:val="000000"/>
                        </w:rPr>
                      </w:pPr>
                    </w:p>
                    <w:p w:rsidR="00D54F75" w:rsidRDefault="005C5A8C">
                      <w:pPr>
                        <w:pStyle w:val="Contenutocornice"/>
                        <w:ind w:left="5" w:right="6"/>
                        <w:jc w:val="center"/>
                        <w:rPr>
                          <w:b/>
                          <w:color w:val="000000"/>
                          <w:sz w:val="20"/>
                        </w:rPr>
                      </w:pPr>
                      <w:r>
                        <w:rPr>
                          <w:b/>
                          <w:color w:val="000000"/>
                          <w:sz w:val="20"/>
                        </w:rPr>
                        <w:t>RELAZIONE</w:t>
                      </w:r>
                      <w:r>
                        <w:rPr>
                          <w:b/>
                          <w:color w:val="000000"/>
                          <w:spacing w:val="20"/>
                          <w:sz w:val="20"/>
                        </w:rPr>
                        <w:t xml:space="preserve"> </w:t>
                      </w:r>
                      <w:r>
                        <w:rPr>
                          <w:b/>
                          <w:color w:val="000000"/>
                          <w:sz w:val="20"/>
                        </w:rPr>
                        <w:t>TECNICO</w:t>
                      </w:r>
                      <w:r>
                        <w:rPr>
                          <w:b/>
                          <w:color w:val="000000"/>
                          <w:spacing w:val="26"/>
                          <w:sz w:val="20"/>
                        </w:rPr>
                        <w:t xml:space="preserve"> </w:t>
                      </w:r>
                      <w:r>
                        <w:rPr>
                          <w:b/>
                          <w:color w:val="000000"/>
                          <w:sz w:val="20"/>
                        </w:rPr>
                        <w:t>–</w:t>
                      </w:r>
                      <w:r>
                        <w:rPr>
                          <w:b/>
                          <w:color w:val="000000"/>
                          <w:spacing w:val="18"/>
                          <w:sz w:val="20"/>
                        </w:rPr>
                        <w:t xml:space="preserve"> </w:t>
                      </w:r>
                      <w:r>
                        <w:rPr>
                          <w:b/>
                          <w:color w:val="000000"/>
                          <w:spacing w:val="-2"/>
                          <w:sz w:val="20"/>
                        </w:rPr>
                        <w:t>ILLUSTRATIVA</w:t>
                      </w:r>
                    </w:p>
                  </w:txbxContent>
                </v:textbox>
                <w10:anchorlock/>
              </v:rect>
            </w:pict>
          </mc:Fallback>
        </mc:AlternateContent>
      </w:r>
    </w:p>
    <w:p w:rsidR="00D54F75" w:rsidRDefault="00D54F75">
      <w:pPr>
        <w:pStyle w:val="Corpotesto"/>
        <w:ind w:left="32"/>
        <w:jc w:val="left"/>
      </w:pPr>
    </w:p>
    <w:p w:rsidR="00D54F75" w:rsidRDefault="005C5A8C">
      <w:pPr>
        <w:pStyle w:val="Titolo1"/>
        <w:ind w:left="32" w:right="0"/>
      </w:pPr>
      <w:r>
        <w:t>INQUADRAMENTO GENERALE DELL’APPALTO</w:t>
      </w:r>
    </w:p>
    <w:p w:rsidR="00D54F75" w:rsidRDefault="00D54F75">
      <w:pPr>
        <w:pStyle w:val="Corpotesto"/>
        <w:ind w:left="32"/>
        <w:jc w:val="left"/>
        <w:rPr>
          <w:b/>
        </w:rPr>
      </w:pPr>
    </w:p>
    <w:p w:rsidR="00D54F75" w:rsidRDefault="005C5A8C">
      <w:pPr>
        <w:pStyle w:val="Corpotesto"/>
        <w:ind w:left="32"/>
      </w:pPr>
      <w:r>
        <w:t xml:space="preserve">La normativa di riferimento per il servizio di brokeraggio assicurativo è il </w:t>
      </w:r>
      <w:proofErr w:type="spellStart"/>
      <w:proofErr w:type="gramStart"/>
      <w:r>
        <w:t>D.Lgs</w:t>
      </w:r>
      <w:proofErr w:type="gramEnd"/>
      <w:r>
        <w:t>.</w:t>
      </w:r>
      <w:proofErr w:type="spellEnd"/>
      <w:r>
        <w:t xml:space="preserve"> 7 settembre 2005, n. 209 (Codice delle Assicurazioni Private) e successive modifiche e integrazioni, nonché la normativa emanata dall'IVASS (Istituto per la Vigilanza sulle Assicurazioni) in materia di distribuzione e intermediazione assicurativa, in attuazione della Direttiva (UE) 2016/97 sulla distribuzione assicurativa (IDD).</w:t>
      </w:r>
    </w:p>
    <w:p w:rsidR="00D54F75" w:rsidRDefault="00D54F75">
      <w:pPr>
        <w:pStyle w:val="Corpotesto"/>
        <w:ind w:left="32"/>
        <w:jc w:val="left"/>
      </w:pPr>
    </w:p>
    <w:p w:rsidR="00D54F75" w:rsidRDefault="005C5A8C">
      <w:pPr>
        <w:pStyle w:val="Corpotesto"/>
        <w:ind w:left="32"/>
      </w:pPr>
      <w:r>
        <w:t>Obiettivo dell’appalto è la gestione delle coperture assicurative del Comune, in considerazione della specificità e complessità della normativa di riferimento.</w:t>
      </w:r>
    </w:p>
    <w:p w:rsidR="00D54F75" w:rsidRDefault="00D54F75">
      <w:pPr>
        <w:pStyle w:val="Corpotesto"/>
        <w:ind w:left="32"/>
        <w:jc w:val="left"/>
      </w:pPr>
    </w:p>
    <w:p w:rsidR="00D54F75" w:rsidRDefault="00D54F75">
      <w:pPr>
        <w:pStyle w:val="Corpotesto"/>
        <w:ind w:left="32"/>
        <w:jc w:val="left"/>
      </w:pPr>
    </w:p>
    <w:p w:rsidR="00D54F75" w:rsidRDefault="005C5A8C">
      <w:pPr>
        <w:pStyle w:val="Titolo1"/>
        <w:ind w:left="32" w:right="0"/>
      </w:pPr>
      <w:r>
        <w:t>LE ATTIVITA’ PREVISTE NELL’APPALTO</w:t>
      </w:r>
    </w:p>
    <w:p w:rsidR="00D54F75" w:rsidRDefault="00D54F75">
      <w:pPr>
        <w:pStyle w:val="Corpotesto"/>
        <w:ind w:left="32"/>
        <w:jc w:val="left"/>
        <w:rPr>
          <w:b/>
        </w:rPr>
      </w:pPr>
    </w:p>
    <w:p w:rsidR="00D54F75" w:rsidRDefault="005C5A8C">
      <w:pPr>
        <w:pStyle w:val="Corpotesto"/>
        <w:ind w:left="32"/>
      </w:pPr>
      <w:r>
        <w:t>Oggetto dell’appalto sono l’assistenza e la consulenza relativa al programma assicurativo del Comune di Bentivoglio (BO), nonché la collaborazione e gestione all’esecuzione dei contratti assicurativi.</w:t>
      </w:r>
    </w:p>
    <w:p w:rsidR="00D54F75" w:rsidRDefault="00D54F75">
      <w:pPr>
        <w:pStyle w:val="Corpotesto"/>
        <w:ind w:left="32"/>
        <w:jc w:val="left"/>
      </w:pPr>
    </w:p>
    <w:p w:rsidR="00D54F75" w:rsidRDefault="005C5A8C">
      <w:pPr>
        <w:pStyle w:val="Corpotesto"/>
        <w:ind w:left="32"/>
      </w:pPr>
      <w:r>
        <w:t>Il Broker si impegna a fornire, con i propri mezzi e la propria organizzazione, l’attività di supporto in materia assicurativa e, in particolare, ad espletare le attività specifiche di seguito indicate a titolo esemplificativo e non esaustivo:</w:t>
      </w:r>
    </w:p>
    <w:p w:rsidR="00D54F75" w:rsidRDefault="005C5A8C">
      <w:pPr>
        <w:pStyle w:val="Paragrafoelenco"/>
        <w:numPr>
          <w:ilvl w:val="0"/>
          <w:numId w:val="1"/>
        </w:numPr>
        <w:tabs>
          <w:tab w:val="left" w:pos="426"/>
        </w:tabs>
        <w:ind w:left="426" w:right="0" w:hanging="394"/>
        <w:rPr>
          <w:sz w:val="20"/>
          <w:szCs w:val="20"/>
        </w:rPr>
      </w:pPr>
      <w:r>
        <w:rPr>
          <w:sz w:val="20"/>
          <w:szCs w:val="20"/>
        </w:rPr>
        <w:t>individuazione, analisi e valutazione dei rischi cui l’amministrazione contraente è soggetta;</w:t>
      </w:r>
    </w:p>
    <w:p w:rsidR="00D54F75" w:rsidRDefault="005C5A8C">
      <w:pPr>
        <w:pStyle w:val="Paragrafoelenco"/>
        <w:numPr>
          <w:ilvl w:val="0"/>
          <w:numId w:val="1"/>
        </w:numPr>
        <w:tabs>
          <w:tab w:val="left" w:pos="426"/>
        </w:tabs>
        <w:ind w:left="426" w:right="0" w:hanging="394"/>
        <w:rPr>
          <w:sz w:val="20"/>
          <w:szCs w:val="20"/>
        </w:rPr>
      </w:pPr>
      <w:r>
        <w:rPr>
          <w:sz w:val="20"/>
          <w:szCs w:val="20"/>
        </w:rPr>
        <w:t>studio della prevenzione e protezione;</w:t>
      </w:r>
    </w:p>
    <w:p w:rsidR="00D54F75" w:rsidRDefault="005C5A8C">
      <w:pPr>
        <w:pStyle w:val="Paragrafoelenco"/>
        <w:numPr>
          <w:ilvl w:val="0"/>
          <w:numId w:val="1"/>
        </w:numPr>
        <w:tabs>
          <w:tab w:val="left" w:pos="426"/>
        </w:tabs>
        <w:ind w:left="426" w:right="0" w:hanging="394"/>
        <w:rPr>
          <w:sz w:val="20"/>
          <w:szCs w:val="20"/>
        </w:rPr>
      </w:pPr>
      <w:r>
        <w:rPr>
          <w:sz w:val="20"/>
          <w:szCs w:val="20"/>
        </w:rPr>
        <w:t>analisi delle polizze assicurative in capo all’amministrazione contraente, ai suoi dirigenti, funzionari e/o dipendenti e delle loro relative coperture assicurative, consulenza e impostazione del programma assicurativo completo e personalizzato, da effettuarsi anche con sopralluoghi presso le strutture dell’Ente;</w:t>
      </w:r>
    </w:p>
    <w:p w:rsidR="00D54F75" w:rsidRDefault="005C5A8C">
      <w:pPr>
        <w:pStyle w:val="Paragrafoelenco"/>
        <w:numPr>
          <w:ilvl w:val="0"/>
          <w:numId w:val="1"/>
        </w:numPr>
        <w:tabs>
          <w:tab w:val="left" w:pos="426"/>
        </w:tabs>
        <w:ind w:left="426" w:right="0" w:hanging="394"/>
        <w:rPr>
          <w:sz w:val="20"/>
          <w:szCs w:val="20"/>
        </w:rPr>
      </w:pPr>
      <w:r>
        <w:rPr>
          <w:sz w:val="20"/>
          <w:szCs w:val="20"/>
        </w:rPr>
        <w:t>monitoraggio dei costi delle coperture e relativa valutazione dei costi/benefici al fine di ottimizzare le risorse in relazione alla qualità dei servizi offerti;</w:t>
      </w:r>
    </w:p>
    <w:p w:rsidR="00D54F75" w:rsidRDefault="005C5A8C">
      <w:pPr>
        <w:pStyle w:val="Paragrafoelenco"/>
        <w:numPr>
          <w:ilvl w:val="0"/>
          <w:numId w:val="1"/>
        </w:numPr>
        <w:tabs>
          <w:tab w:val="left" w:pos="426"/>
        </w:tabs>
        <w:ind w:left="426" w:right="0" w:hanging="394"/>
        <w:rPr>
          <w:sz w:val="20"/>
          <w:szCs w:val="20"/>
        </w:rPr>
      </w:pPr>
      <w:r>
        <w:rPr>
          <w:sz w:val="20"/>
          <w:szCs w:val="20"/>
        </w:rPr>
        <w:t>effettuazione delle indagini di mercato per la scelta delle compagnie più solide alle condizioni finanziarie più vantaggiose;</w:t>
      </w:r>
    </w:p>
    <w:p w:rsidR="00D54F75" w:rsidRDefault="005C5A8C">
      <w:pPr>
        <w:pStyle w:val="Paragrafoelenco"/>
        <w:numPr>
          <w:ilvl w:val="0"/>
          <w:numId w:val="1"/>
        </w:numPr>
        <w:tabs>
          <w:tab w:val="left" w:pos="426"/>
        </w:tabs>
        <w:ind w:left="426" w:right="0" w:hanging="394"/>
        <w:rPr>
          <w:sz w:val="20"/>
          <w:szCs w:val="20"/>
        </w:rPr>
      </w:pPr>
      <w:r>
        <w:rPr>
          <w:sz w:val="20"/>
          <w:szCs w:val="20"/>
        </w:rPr>
        <w:t>redazione dei capitolati di gara, strutturati in base alla reale necessità dell’amministrazione contraente e resa di pareri preventivi sulle clausole assicurative da inserire nei bandi di gara, contratti, convenzioni, concessioni a tutela delle amministrazioni, il tutto con la massima tempestività e comunque nei tempi compatibili con l’attività della stazione appaltante;</w:t>
      </w:r>
    </w:p>
    <w:p w:rsidR="00D54F75" w:rsidRDefault="005C5A8C">
      <w:pPr>
        <w:pStyle w:val="Paragrafoelenco"/>
        <w:numPr>
          <w:ilvl w:val="0"/>
          <w:numId w:val="1"/>
        </w:numPr>
        <w:tabs>
          <w:tab w:val="left" w:pos="426"/>
        </w:tabs>
        <w:ind w:left="426" w:right="0" w:hanging="394"/>
        <w:rPr>
          <w:sz w:val="20"/>
          <w:szCs w:val="20"/>
        </w:rPr>
      </w:pPr>
      <w:r>
        <w:rPr>
          <w:sz w:val="20"/>
          <w:szCs w:val="20"/>
        </w:rPr>
        <w:t>assistenza e consulenza nella predisposizione delle procedure, dei capitolati e dei documenti di gara, strutturati in base alle reali necessità, nello svolgimento delle gare medesime e nella valutazione delle offerte pervenute;</w:t>
      </w:r>
    </w:p>
    <w:p w:rsidR="00D54F75" w:rsidRDefault="005C5A8C">
      <w:pPr>
        <w:pStyle w:val="Paragrafoelenco"/>
        <w:numPr>
          <w:ilvl w:val="0"/>
          <w:numId w:val="1"/>
        </w:numPr>
        <w:tabs>
          <w:tab w:val="left" w:pos="426"/>
        </w:tabs>
        <w:ind w:left="426" w:right="0" w:hanging="394"/>
        <w:rPr>
          <w:sz w:val="20"/>
          <w:szCs w:val="20"/>
        </w:rPr>
      </w:pPr>
      <w:r>
        <w:rPr>
          <w:sz w:val="20"/>
          <w:szCs w:val="20"/>
        </w:rPr>
        <w:t>consulenza e redazione di pareri esaustivi in merito a tematiche e problematiche in materia assicurativa che il Comune riterrà di sottoporre nel corso del servizio;</w:t>
      </w:r>
    </w:p>
    <w:p w:rsidR="00D54F75" w:rsidRDefault="005C5A8C">
      <w:pPr>
        <w:pStyle w:val="Paragrafoelenco"/>
        <w:numPr>
          <w:ilvl w:val="0"/>
          <w:numId w:val="1"/>
        </w:numPr>
        <w:tabs>
          <w:tab w:val="left" w:pos="426"/>
        </w:tabs>
        <w:ind w:left="426" w:right="0" w:hanging="394"/>
        <w:rPr>
          <w:sz w:val="20"/>
          <w:szCs w:val="20"/>
        </w:rPr>
      </w:pPr>
      <w:r>
        <w:rPr>
          <w:sz w:val="20"/>
          <w:szCs w:val="20"/>
        </w:rPr>
        <w:t>predisposizione di una apposita relazione in ordine alle offerte pervenute dalle varie compagnie di assicurazione evidenziando quelle che hanno espresso il migliore rapporto qualità/prezzo;</w:t>
      </w:r>
    </w:p>
    <w:p w:rsidR="00D54F75" w:rsidRDefault="005C5A8C">
      <w:pPr>
        <w:pStyle w:val="Paragrafoelenco"/>
        <w:numPr>
          <w:ilvl w:val="0"/>
          <w:numId w:val="1"/>
        </w:numPr>
        <w:tabs>
          <w:tab w:val="left" w:pos="426"/>
        </w:tabs>
        <w:ind w:left="426" w:right="0" w:hanging="394"/>
        <w:rPr>
          <w:sz w:val="20"/>
          <w:szCs w:val="20"/>
        </w:rPr>
      </w:pPr>
      <w:r>
        <w:rPr>
          <w:sz w:val="20"/>
          <w:szCs w:val="20"/>
        </w:rPr>
        <w:t>assistenza nella gestione tecnica e amministrativa di tutti i contratti assicurativi, con controllo sull’emissione delle polizze, appendici, scadenza dei ratei, scadenza dei termini di prescrizione ed ogni altra connessa attività amministrativo-contabile;</w:t>
      </w:r>
    </w:p>
    <w:p w:rsidR="00D54F75" w:rsidRDefault="005C5A8C">
      <w:pPr>
        <w:pStyle w:val="Paragrafoelenco"/>
        <w:numPr>
          <w:ilvl w:val="0"/>
          <w:numId w:val="1"/>
        </w:numPr>
        <w:tabs>
          <w:tab w:val="left" w:pos="426"/>
        </w:tabs>
        <w:ind w:left="426" w:right="0" w:hanging="394"/>
        <w:rPr>
          <w:sz w:val="20"/>
          <w:szCs w:val="20"/>
        </w:rPr>
      </w:pPr>
      <w:r>
        <w:rPr>
          <w:sz w:val="20"/>
          <w:szCs w:val="20"/>
        </w:rPr>
        <w:t>aggiornamento dei contratti in relazione alle esigenze della stazione appaltante e alle evoluzioni legislative e regolamentari o, eventualmente, in relazione all’analisi del mercato assicurativo ed alle novità proposte dalle Compagnie assicuratrici;</w:t>
      </w:r>
    </w:p>
    <w:p w:rsidR="00D54F75" w:rsidRDefault="005C5A8C">
      <w:pPr>
        <w:pStyle w:val="Paragrafoelenco"/>
        <w:numPr>
          <w:ilvl w:val="0"/>
          <w:numId w:val="1"/>
        </w:numPr>
        <w:tabs>
          <w:tab w:val="left" w:pos="426"/>
        </w:tabs>
        <w:ind w:left="426" w:right="0" w:hanging="394"/>
        <w:rPr>
          <w:sz w:val="20"/>
          <w:szCs w:val="20"/>
        </w:rPr>
      </w:pPr>
      <w:r>
        <w:rPr>
          <w:sz w:val="20"/>
          <w:szCs w:val="20"/>
        </w:rPr>
        <w:t>messa a disposizione di strumenti elettronici, utilizzabili anche tramite internet, per la gestione automatizzata dei contratti di assicurazione e la verifica dello stato dei sinistri, a cui si possa accedere in qualsiasi momento per: informazioni di dettagli di ogni singola polizza, informazioni relative ai dati contabili di ciascuna polizza assicurativa, elenco dei sinistri aperti su ogni singola polizza, informazioni polizza assicurativa con possibilità di accedere ad ogni singolo sinistro le cui informazioni saranno richieste dall’Ente, con particolare riguardo alla situazione analitica “sinistri – pagamenti”;</w:t>
      </w:r>
    </w:p>
    <w:p w:rsidR="00D54F75" w:rsidRDefault="005C5A8C">
      <w:pPr>
        <w:widowControl/>
        <w:rPr>
          <w:sz w:val="20"/>
          <w:szCs w:val="20"/>
        </w:rPr>
      </w:pPr>
      <w:r>
        <w:br w:type="page"/>
      </w:r>
    </w:p>
    <w:p w:rsidR="00D54F75" w:rsidRDefault="005C5A8C">
      <w:pPr>
        <w:pStyle w:val="Paragrafoelenco"/>
        <w:numPr>
          <w:ilvl w:val="0"/>
          <w:numId w:val="1"/>
        </w:numPr>
        <w:tabs>
          <w:tab w:val="left" w:pos="426"/>
        </w:tabs>
        <w:ind w:left="426" w:right="0" w:hanging="394"/>
        <w:rPr>
          <w:sz w:val="20"/>
          <w:szCs w:val="20"/>
        </w:rPr>
      </w:pPr>
      <w:r>
        <w:rPr>
          <w:sz w:val="20"/>
          <w:szCs w:val="20"/>
        </w:rPr>
        <w:lastRenderedPageBreak/>
        <w:t>assistenza nella gestione dei sinistri attivi e passivi con produzione di reportistica, a cadenze prestabilite, indicanti dati numerici (numero dei sinistri, ammontare liquidazioni effettuate, numero di sinistri in franchigia, ecc.) e dati descrittivi (es. stato dei sinistri pendenti), al fine di giungere all’ottimizzazione dei tempi di liquidazione da parte delle compagnie sia nei confronti della stazione appaltante, che verso i terzi danneggiati;</w:t>
      </w:r>
    </w:p>
    <w:p w:rsidR="00D54F75" w:rsidRDefault="005C5A8C">
      <w:pPr>
        <w:pStyle w:val="Paragrafoelenco"/>
        <w:numPr>
          <w:ilvl w:val="0"/>
          <w:numId w:val="1"/>
        </w:numPr>
        <w:tabs>
          <w:tab w:val="left" w:pos="426"/>
        </w:tabs>
        <w:ind w:left="426" w:right="0" w:hanging="394"/>
        <w:rPr>
          <w:sz w:val="20"/>
          <w:szCs w:val="20"/>
        </w:rPr>
      </w:pPr>
      <w:r>
        <w:rPr>
          <w:sz w:val="20"/>
          <w:szCs w:val="20"/>
        </w:rPr>
        <w:t>predisposizione di un rapporto annuale dell'attività assicurativa e della sinistrosità riferito all'anno precedente, dal quale si evinca il rapporto premio/sinistri, lo stato di ogni pratica presso le rispettive compagnie ed ogni altra informazione utile, e che dia indicazioni sulle strategie suggerite a breve e medio termine;</w:t>
      </w:r>
    </w:p>
    <w:p w:rsidR="00D54F75" w:rsidRDefault="005C5A8C">
      <w:pPr>
        <w:pStyle w:val="Paragrafoelenco"/>
        <w:numPr>
          <w:ilvl w:val="0"/>
          <w:numId w:val="1"/>
        </w:numPr>
        <w:tabs>
          <w:tab w:val="left" w:pos="426"/>
        </w:tabs>
        <w:ind w:left="426" w:right="0" w:hanging="394"/>
        <w:rPr>
          <w:sz w:val="20"/>
          <w:szCs w:val="20"/>
        </w:rPr>
      </w:pPr>
      <w:r>
        <w:rPr>
          <w:sz w:val="20"/>
          <w:szCs w:val="20"/>
        </w:rPr>
        <w:t>segnalazione di nuove e/o diverse esigenze assicurative che dovessero eventualmente emergere nel proseguo del rapporto;</w:t>
      </w:r>
    </w:p>
    <w:p w:rsidR="00D54F75" w:rsidRDefault="005C5A8C">
      <w:pPr>
        <w:pStyle w:val="Paragrafoelenco"/>
        <w:numPr>
          <w:ilvl w:val="0"/>
          <w:numId w:val="1"/>
        </w:numPr>
        <w:tabs>
          <w:tab w:val="left" w:pos="426"/>
        </w:tabs>
        <w:ind w:left="426" w:right="0" w:hanging="394"/>
        <w:rPr>
          <w:strike/>
          <w:color w:val="FF0000"/>
          <w:sz w:val="20"/>
          <w:szCs w:val="20"/>
        </w:rPr>
      </w:pPr>
      <w:r>
        <w:rPr>
          <w:sz w:val="20"/>
          <w:szCs w:val="20"/>
        </w:rPr>
        <w:t>assistenza nella valorizzazione, ai fini assicurativi, del patrimonio di proprietà dell’ente committente e/o in uso e/o in locazione, al fine di valorizzare correttamente i beni;</w:t>
      </w:r>
    </w:p>
    <w:p w:rsidR="00D54F75" w:rsidRDefault="005C5A8C">
      <w:pPr>
        <w:pStyle w:val="Paragrafoelenco"/>
        <w:numPr>
          <w:ilvl w:val="0"/>
          <w:numId w:val="1"/>
        </w:numPr>
        <w:tabs>
          <w:tab w:val="left" w:pos="426"/>
        </w:tabs>
        <w:ind w:left="426" w:right="0" w:hanging="394"/>
        <w:rPr>
          <w:sz w:val="20"/>
          <w:szCs w:val="20"/>
        </w:rPr>
      </w:pPr>
      <w:r>
        <w:rPr>
          <w:sz w:val="20"/>
          <w:szCs w:val="20"/>
        </w:rPr>
        <w:t>resa di pareri assistenza e consulenza su questioni in materia assicurativa o attinente;</w:t>
      </w:r>
    </w:p>
    <w:p w:rsidR="00D54F75" w:rsidRDefault="005C5A8C">
      <w:pPr>
        <w:pStyle w:val="Paragrafoelenco"/>
        <w:numPr>
          <w:ilvl w:val="0"/>
          <w:numId w:val="1"/>
        </w:numPr>
        <w:tabs>
          <w:tab w:val="left" w:pos="426"/>
        </w:tabs>
        <w:ind w:left="426" w:right="0" w:hanging="394"/>
        <w:rPr>
          <w:sz w:val="20"/>
          <w:szCs w:val="20"/>
        </w:rPr>
      </w:pPr>
      <w:r>
        <w:rPr>
          <w:sz w:val="20"/>
          <w:szCs w:val="20"/>
        </w:rPr>
        <w:t>formazione e aggiornamento del personale da svolgersi con le modalità e i termini indicati nella propria offerta tecnica in sede di gara, sulle problematiche assicurative connesse all’attività dell’Ente, sul contenuto dei principali contratti assicurativi e sulle novità giurisprudenziali in materia di assicurazioni;</w:t>
      </w:r>
    </w:p>
    <w:p w:rsidR="00D54F75" w:rsidRDefault="005C5A8C">
      <w:pPr>
        <w:pStyle w:val="Paragrafoelenco"/>
        <w:numPr>
          <w:ilvl w:val="0"/>
          <w:numId w:val="1"/>
        </w:numPr>
        <w:tabs>
          <w:tab w:val="left" w:pos="426"/>
        </w:tabs>
        <w:ind w:left="426" w:right="0" w:hanging="394"/>
        <w:rPr>
          <w:sz w:val="20"/>
          <w:szCs w:val="20"/>
        </w:rPr>
      </w:pPr>
      <w:r>
        <w:rPr>
          <w:sz w:val="20"/>
          <w:szCs w:val="20"/>
        </w:rPr>
        <w:t>tempestiva trasmissione delle novità legislative o di procedure giurisprudenziali innovative che intervengono nel corso del servizio e relativa valutazione dell’impatto sulla gestione del pacchetto assicurativo dell’Ente;</w:t>
      </w:r>
    </w:p>
    <w:p w:rsidR="00D54F75" w:rsidRDefault="005C5A8C">
      <w:pPr>
        <w:pStyle w:val="Paragrafoelenco"/>
        <w:numPr>
          <w:ilvl w:val="0"/>
          <w:numId w:val="1"/>
        </w:numPr>
        <w:tabs>
          <w:tab w:val="left" w:pos="426"/>
        </w:tabs>
        <w:ind w:left="426" w:right="0" w:hanging="394"/>
        <w:rPr>
          <w:sz w:val="20"/>
          <w:szCs w:val="20"/>
        </w:rPr>
      </w:pPr>
      <w:r>
        <w:rPr>
          <w:sz w:val="20"/>
          <w:szCs w:val="20"/>
        </w:rPr>
        <w:t>gli eventuali servizi aggiuntivi offerti in sede di gara dovranno essere prestati a favore dell’amministrazione contraente senza alcun onere a carico della stessa e dovranno essere in stretta correlazione col servizio di cui al presente capitolato. Ogni proposta sarà valutata positivamente sulla base della fattibilità e dell’innovazione e sarà vincolante per il proponente aggiudicatario dell’appalto. Non saranno considerati servizi che esulano dalle competenze del broker.</w:t>
      </w:r>
    </w:p>
    <w:p w:rsidR="00D54F75" w:rsidRDefault="00D54F75">
      <w:pPr>
        <w:pStyle w:val="Corpotesto"/>
        <w:ind w:left="32"/>
        <w:jc w:val="left"/>
      </w:pPr>
    </w:p>
    <w:p w:rsidR="00D54F75" w:rsidRDefault="00D54F75">
      <w:pPr>
        <w:pStyle w:val="Corpotesto"/>
        <w:ind w:left="32"/>
        <w:jc w:val="left"/>
      </w:pPr>
    </w:p>
    <w:p w:rsidR="00D54F75" w:rsidRDefault="005C5A8C">
      <w:pPr>
        <w:pStyle w:val="Titolo1"/>
        <w:ind w:left="32" w:right="0"/>
      </w:pPr>
      <w:r>
        <w:t>DURATA DELL’APPALTO</w:t>
      </w:r>
    </w:p>
    <w:p w:rsidR="00D54F75" w:rsidRDefault="00D54F75">
      <w:pPr>
        <w:pStyle w:val="Corpotesto"/>
        <w:ind w:left="32"/>
        <w:jc w:val="left"/>
        <w:rPr>
          <w:b/>
        </w:rPr>
      </w:pPr>
    </w:p>
    <w:p w:rsidR="00D54F75" w:rsidRDefault="005C5A8C">
      <w:pPr>
        <w:pStyle w:val="Corpotesto"/>
        <w:ind w:left="32"/>
      </w:pPr>
      <w:r>
        <w:t xml:space="preserve">Il servizio si intende affidato per il periodo 2027/2030, durata quattro anni decorrenti presumibilmente </w:t>
      </w:r>
      <w:r w:rsidRPr="002F1DC3">
        <w:rPr>
          <w:b/>
          <w:color w:val="FF0000"/>
        </w:rPr>
        <w:t>dal 11/06/2027 (fino al 10/06/2031)</w:t>
      </w:r>
      <w:r>
        <w:rPr>
          <w:color w:val="FF0000"/>
        </w:rPr>
        <w:t xml:space="preserve"> </w:t>
      </w:r>
      <w:r>
        <w:t>con la possibilità di rinnovo di anni 4 (quattro), alle medesime condizioni, su insindacabile manifestazione di volontà dell’Ente.</w:t>
      </w:r>
    </w:p>
    <w:p w:rsidR="00D54F75" w:rsidRDefault="00D54F75">
      <w:pPr>
        <w:pStyle w:val="Corpotesto"/>
        <w:ind w:left="32"/>
        <w:jc w:val="left"/>
      </w:pPr>
    </w:p>
    <w:p w:rsidR="00D54F75" w:rsidRDefault="00D54F75">
      <w:pPr>
        <w:pStyle w:val="Corpotesto"/>
        <w:ind w:left="32"/>
        <w:jc w:val="left"/>
      </w:pPr>
    </w:p>
    <w:p w:rsidR="00D54F75" w:rsidRDefault="005C5A8C">
      <w:pPr>
        <w:pStyle w:val="Titolo1"/>
        <w:ind w:left="32" w:right="0"/>
      </w:pPr>
      <w:r>
        <w:t>PROCEDURA PER L’AFFIDAMENTO</w:t>
      </w:r>
    </w:p>
    <w:p w:rsidR="00D54F75" w:rsidRDefault="00D54F75">
      <w:pPr>
        <w:pStyle w:val="Corpotesto"/>
        <w:ind w:left="32"/>
        <w:jc w:val="left"/>
        <w:rPr>
          <w:b/>
        </w:rPr>
      </w:pPr>
    </w:p>
    <w:p w:rsidR="00D54F75" w:rsidRDefault="005C5A8C">
      <w:pPr>
        <w:pStyle w:val="Corpotesto"/>
        <w:ind w:left="32"/>
      </w:pPr>
      <w:r>
        <w:t>L’affidamento del servizio avverrà a seguito di gara aperta con il criterio di aggiudicazione dell’offerta economicamente più vantaggiosa. Procedura svolta dalla CENTRALE UNICA DI COMMITTENZA dell’Unione Reno Galliera.</w:t>
      </w:r>
    </w:p>
    <w:p w:rsidR="00D54F75" w:rsidRDefault="00D54F75">
      <w:pPr>
        <w:pStyle w:val="Corpotesto"/>
        <w:ind w:left="32"/>
        <w:jc w:val="left"/>
      </w:pPr>
    </w:p>
    <w:p w:rsidR="00D54F75" w:rsidRDefault="00D54F75">
      <w:pPr>
        <w:pStyle w:val="Corpotesto"/>
        <w:ind w:left="32"/>
        <w:jc w:val="left"/>
      </w:pPr>
    </w:p>
    <w:p w:rsidR="00D54F75" w:rsidRDefault="005C5A8C">
      <w:pPr>
        <w:pStyle w:val="Titolo1"/>
        <w:ind w:left="32" w:right="0"/>
      </w:pPr>
      <w:r>
        <w:t>QUADRO ECONOMICO</w:t>
      </w:r>
    </w:p>
    <w:p w:rsidR="00D54F75" w:rsidRDefault="00D54F75">
      <w:pPr>
        <w:pStyle w:val="Corpotesto"/>
        <w:ind w:left="32"/>
        <w:jc w:val="left"/>
        <w:rPr>
          <w:b/>
        </w:rPr>
      </w:pPr>
    </w:p>
    <w:p w:rsidR="00D54F75" w:rsidRDefault="005C5A8C">
      <w:pPr>
        <w:pStyle w:val="Corpotesto"/>
        <w:ind w:left="32"/>
      </w:pPr>
      <w:r>
        <w:t>Il servizio non comporto oneri diretti per l’Amministrazione comunale in quanto la remunerazione, come da prassi consolidata di mercato, sarà a carico delle compagnie di assicurazione con le quali sono sottoscritti i singoli contratti assicurativi.</w:t>
      </w:r>
    </w:p>
    <w:p w:rsidR="00D54F75" w:rsidRDefault="00D54F75">
      <w:pPr>
        <w:pStyle w:val="Corpotesto"/>
        <w:ind w:left="32"/>
      </w:pPr>
    </w:p>
    <w:p w:rsidR="00D54F75" w:rsidRDefault="005C5A8C">
      <w:pPr>
        <w:pStyle w:val="Corpotesto"/>
        <w:ind w:left="32"/>
      </w:pPr>
      <w:r>
        <w:t>Alla data odierna l’aggio a favore del Broker, in considerazione delle polizze assicurative in essere e al contratto di brokeraggio attualmente in vigore, risulta essere il seguente:</w:t>
      </w:r>
    </w:p>
    <w:p w:rsidR="00D54F75" w:rsidRDefault="00D54F75">
      <w:pPr>
        <w:pStyle w:val="Corpotesto"/>
        <w:ind w:left="32"/>
        <w:jc w:val="left"/>
      </w:pPr>
    </w:p>
    <w:tbl>
      <w:tblPr>
        <w:tblW w:w="5000" w:type="pct"/>
        <w:tblLayout w:type="fixed"/>
        <w:tblCellMar>
          <w:left w:w="5" w:type="dxa"/>
          <w:right w:w="5" w:type="dxa"/>
        </w:tblCellMar>
        <w:tblLook w:val="04A0" w:firstRow="1" w:lastRow="0" w:firstColumn="1" w:lastColumn="0" w:noHBand="0" w:noVBand="1"/>
      </w:tblPr>
      <w:tblGrid>
        <w:gridCol w:w="1422"/>
        <w:gridCol w:w="1424"/>
        <w:gridCol w:w="1545"/>
        <w:gridCol w:w="1302"/>
        <w:gridCol w:w="1422"/>
        <w:gridCol w:w="1424"/>
        <w:gridCol w:w="1423"/>
      </w:tblGrid>
      <w:tr w:rsidR="00D54F75">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b/>
                <w:bCs/>
                <w:sz w:val="20"/>
                <w:szCs w:val="20"/>
              </w:rPr>
            </w:pPr>
            <w:r>
              <w:rPr>
                <w:b/>
                <w:bCs/>
                <w:sz w:val="20"/>
                <w:szCs w:val="20"/>
              </w:rPr>
              <w:t>Rischio</w:t>
            </w:r>
          </w:p>
        </w:tc>
        <w:tc>
          <w:tcPr>
            <w:tcW w:w="1426"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b/>
                <w:bCs/>
                <w:sz w:val="20"/>
                <w:szCs w:val="20"/>
              </w:rPr>
            </w:pPr>
            <w:r>
              <w:rPr>
                <w:b/>
                <w:bCs/>
                <w:sz w:val="20"/>
                <w:szCs w:val="20"/>
              </w:rPr>
              <w:t>Numero Polizza</w:t>
            </w:r>
          </w:p>
        </w:tc>
        <w:tc>
          <w:tcPr>
            <w:tcW w:w="1546"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b/>
                <w:bCs/>
                <w:sz w:val="20"/>
                <w:szCs w:val="20"/>
              </w:rPr>
            </w:pPr>
            <w:r>
              <w:rPr>
                <w:b/>
                <w:bCs/>
                <w:sz w:val="20"/>
                <w:szCs w:val="20"/>
              </w:rPr>
              <w:t>Assicuratore</w:t>
            </w:r>
          </w:p>
        </w:tc>
        <w:tc>
          <w:tcPr>
            <w:tcW w:w="130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b/>
                <w:bCs/>
                <w:sz w:val="20"/>
                <w:szCs w:val="20"/>
              </w:rPr>
            </w:pPr>
            <w:r>
              <w:rPr>
                <w:b/>
                <w:bCs/>
                <w:sz w:val="20"/>
                <w:szCs w:val="20"/>
              </w:rPr>
              <w:t>Data Scadenza</w:t>
            </w:r>
          </w:p>
        </w:tc>
        <w:tc>
          <w:tcPr>
            <w:tcW w:w="142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b/>
                <w:bCs/>
                <w:sz w:val="20"/>
                <w:szCs w:val="20"/>
              </w:rPr>
            </w:pPr>
            <w:r>
              <w:rPr>
                <w:b/>
                <w:bCs/>
                <w:sz w:val="20"/>
                <w:szCs w:val="20"/>
              </w:rPr>
              <w:t>Premio Annuo Imponibile</w:t>
            </w:r>
          </w:p>
        </w:tc>
        <w:tc>
          <w:tcPr>
            <w:tcW w:w="1425"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b/>
                <w:bCs/>
                <w:sz w:val="20"/>
                <w:szCs w:val="20"/>
              </w:rPr>
            </w:pPr>
            <w:r>
              <w:rPr>
                <w:b/>
                <w:bCs/>
                <w:sz w:val="20"/>
                <w:szCs w:val="20"/>
              </w:rPr>
              <w:t>Compenso Broker</w:t>
            </w:r>
          </w:p>
        </w:tc>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b/>
                <w:bCs/>
                <w:sz w:val="20"/>
                <w:szCs w:val="20"/>
              </w:rPr>
            </w:pPr>
            <w:r>
              <w:rPr>
                <w:b/>
                <w:bCs/>
                <w:sz w:val="20"/>
                <w:szCs w:val="20"/>
              </w:rPr>
              <w:t>% compenso broker su premio imponibile</w:t>
            </w:r>
          </w:p>
        </w:tc>
      </w:tr>
      <w:tr w:rsidR="00D54F75">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RC Diversi</w:t>
            </w:r>
          </w:p>
        </w:tc>
        <w:tc>
          <w:tcPr>
            <w:tcW w:w="1426"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K21IT004355</w:t>
            </w:r>
          </w:p>
        </w:tc>
        <w:tc>
          <w:tcPr>
            <w:tcW w:w="1546" w:type="dxa"/>
            <w:tcBorders>
              <w:top w:val="single" w:sz="4" w:space="0" w:color="000000"/>
              <w:left w:val="single" w:sz="4" w:space="0" w:color="000000"/>
              <w:bottom w:val="single" w:sz="4" w:space="0" w:color="000000"/>
              <w:right w:val="single" w:sz="4" w:space="0" w:color="000000"/>
            </w:tcBorders>
          </w:tcPr>
          <w:p w:rsidR="00D54F75" w:rsidRDefault="005C5A8C">
            <w:pPr>
              <w:pStyle w:val="Contenutotabella"/>
              <w:ind w:left="32"/>
              <w:rPr>
                <w:sz w:val="20"/>
                <w:szCs w:val="20"/>
                <w:highlight w:val="red"/>
              </w:rPr>
            </w:pPr>
            <w:r>
              <w:rPr>
                <w:sz w:val="20"/>
                <w:szCs w:val="20"/>
              </w:rPr>
              <w:t xml:space="preserve">KRM </w:t>
            </w:r>
            <w:proofErr w:type="spellStart"/>
            <w:r>
              <w:rPr>
                <w:sz w:val="20"/>
                <w:szCs w:val="20"/>
              </w:rPr>
              <w:t>Underwriting</w:t>
            </w:r>
            <w:proofErr w:type="spellEnd"/>
            <w:r>
              <w:rPr>
                <w:sz w:val="20"/>
                <w:szCs w:val="20"/>
              </w:rPr>
              <w:t xml:space="preserve"> </w:t>
            </w:r>
          </w:p>
        </w:tc>
        <w:tc>
          <w:tcPr>
            <w:tcW w:w="130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27.872,25 €</w:t>
            </w:r>
          </w:p>
        </w:tc>
        <w:tc>
          <w:tcPr>
            <w:tcW w:w="1425"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3.344,67 €</w:t>
            </w:r>
          </w:p>
        </w:tc>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12%</w:t>
            </w:r>
          </w:p>
        </w:tc>
      </w:tr>
      <w:tr w:rsidR="00D54F75">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Infortuni cumulativa</w:t>
            </w:r>
          </w:p>
        </w:tc>
        <w:tc>
          <w:tcPr>
            <w:tcW w:w="1426"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77/185913783</w:t>
            </w:r>
          </w:p>
        </w:tc>
        <w:tc>
          <w:tcPr>
            <w:tcW w:w="1546" w:type="dxa"/>
            <w:tcBorders>
              <w:top w:val="single" w:sz="4" w:space="0" w:color="000000"/>
              <w:left w:val="single" w:sz="4" w:space="0" w:color="000000"/>
              <w:bottom w:val="single" w:sz="4" w:space="0" w:color="000000"/>
              <w:right w:val="single" w:sz="4" w:space="0" w:color="000000"/>
            </w:tcBorders>
          </w:tcPr>
          <w:p w:rsidR="00D54F75" w:rsidRDefault="005C5A8C">
            <w:pPr>
              <w:pStyle w:val="Contenutotabella"/>
              <w:ind w:left="32"/>
              <w:rPr>
                <w:sz w:val="20"/>
                <w:szCs w:val="20"/>
                <w:highlight w:val="red"/>
              </w:rPr>
            </w:pPr>
            <w:r>
              <w:rPr>
                <w:sz w:val="20"/>
                <w:szCs w:val="20"/>
              </w:rPr>
              <w:t xml:space="preserve">Unipol spa </w:t>
            </w:r>
            <w:proofErr w:type="spellStart"/>
            <w:r>
              <w:rPr>
                <w:sz w:val="20"/>
                <w:szCs w:val="20"/>
              </w:rPr>
              <w:t>Assicoop</w:t>
            </w:r>
            <w:proofErr w:type="spellEnd"/>
            <w:r>
              <w:rPr>
                <w:sz w:val="20"/>
                <w:szCs w:val="20"/>
              </w:rPr>
              <w:t xml:space="preserve"> Bologna </w:t>
            </w:r>
            <w:r>
              <w:rPr>
                <w:sz w:val="20"/>
                <w:szCs w:val="20"/>
              </w:rPr>
              <w:lastRenderedPageBreak/>
              <w:t xml:space="preserve">Metropolitana </w:t>
            </w:r>
          </w:p>
        </w:tc>
        <w:tc>
          <w:tcPr>
            <w:tcW w:w="130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lastRenderedPageBreak/>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1.442,34 €</w:t>
            </w:r>
          </w:p>
        </w:tc>
        <w:tc>
          <w:tcPr>
            <w:tcW w:w="1425"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173,08 €</w:t>
            </w:r>
          </w:p>
        </w:tc>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12%</w:t>
            </w:r>
          </w:p>
        </w:tc>
      </w:tr>
      <w:tr w:rsidR="00D54F75">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RC Patrimoniale</w:t>
            </w:r>
          </w:p>
        </w:tc>
        <w:tc>
          <w:tcPr>
            <w:tcW w:w="1426"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IFLE005639</w:t>
            </w:r>
          </w:p>
        </w:tc>
        <w:tc>
          <w:tcPr>
            <w:tcW w:w="1546" w:type="dxa"/>
            <w:tcBorders>
              <w:top w:val="single" w:sz="4" w:space="0" w:color="000000"/>
              <w:left w:val="single" w:sz="4" w:space="0" w:color="000000"/>
              <w:bottom w:val="single" w:sz="4" w:space="0" w:color="000000"/>
              <w:right w:val="single" w:sz="4" w:space="0" w:color="000000"/>
            </w:tcBorders>
          </w:tcPr>
          <w:p w:rsidR="00D54F75" w:rsidRDefault="005C5A8C">
            <w:pPr>
              <w:pStyle w:val="Contenutotabella"/>
              <w:ind w:left="32"/>
              <w:rPr>
                <w:sz w:val="20"/>
                <w:szCs w:val="20"/>
                <w:highlight w:val="red"/>
              </w:rPr>
            </w:pPr>
            <w:r>
              <w:rPr>
                <w:sz w:val="20"/>
                <w:szCs w:val="20"/>
              </w:rPr>
              <w:t xml:space="preserve">AIG EUROPE SA Ag Assi B </w:t>
            </w:r>
            <w:proofErr w:type="spellStart"/>
            <w:r>
              <w:rPr>
                <w:sz w:val="20"/>
                <w:szCs w:val="20"/>
              </w:rPr>
              <w:t>Underwriting</w:t>
            </w:r>
            <w:proofErr w:type="spellEnd"/>
          </w:p>
        </w:tc>
        <w:tc>
          <w:tcPr>
            <w:tcW w:w="130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3.214,72 €</w:t>
            </w:r>
          </w:p>
        </w:tc>
        <w:tc>
          <w:tcPr>
            <w:tcW w:w="1425"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385,77 €</w:t>
            </w:r>
          </w:p>
        </w:tc>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12%</w:t>
            </w:r>
          </w:p>
        </w:tc>
      </w:tr>
      <w:tr w:rsidR="00D54F75">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Difesa legale</w:t>
            </w:r>
          </w:p>
        </w:tc>
        <w:tc>
          <w:tcPr>
            <w:tcW w:w="1426"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2021.0061.TL</w:t>
            </w:r>
          </w:p>
        </w:tc>
        <w:tc>
          <w:tcPr>
            <w:tcW w:w="1546" w:type="dxa"/>
            <w:tcBorders>
              <w:top w:val="single" w:sz="4" w:space="0" w:color="000000"/>
              <w:left w:val="single" w:sz="4" w:space="0" w:color="000000"/>
              <w:bottom w:val="single" w:sz="4" w:space="0" w:color="000000"/>
              <w:right w:val="single" w:sz="4" w:space="0" w:color="000000"/>
            </w:tcBorders>
          </w:tcPr>
          <w:p w:rsidR="00D54F75" w:rsidRDefault="005C5A8C">
            <w:pPr>
              <w:pStyle w:val="Contenutotabella"/>
              <w:ind w:left="32"/>
              <w:rPr>
                <w:sz w:val="20"/>
                <w:szCs w:val="20"/>
                <w:highlight w:val="red"/>
                <w:lang w:val="en-US"/>
              </w:rPr>
            </w:pPr>
            <w:r>
              <w:rPr>
                <w:sz w:val="20"/>
                <w:szCs w:val="20"/>
                <w:lang w:val="en-US"/>
              </w:rPr>
              <w:t>HDI Global Specialty -</w:t>
            </w:r>
            <w:proofErr w:type="spellStart"/>
            <w:r>
              <w:rPr>
                <w:sz w:val="20"/>
                <w:szCs w:val="20"/>
                <w:lang w:val="en-US"/>
              </w:rPr>
              <w:t>Th</w:t>
            </w:r>
            <w:proofErr w:type="spellEnd"/>
            <w:r>
              <w:rPr>
                <w:sz w:val="20"/>
                <w:szCs w:val="20"/>
                <w:lang w:val="en-US"/>
              </w:rPr>
              <w:t xml:space="preserve"> Funk &amp; </w:t>
            </w:r>
            <w:proofErr w:type="spellStart"/>
            <w:r>
              <w:rPr>
                <w:sz w:val="20"/>
                <w:szCs w:val="20"/>
                <w:lang w:val="en-US"/>
              </w:rPr>
              <w:t>Sohn</w:t>
            </w:r>
            <w:proofErr w:type="spellEnd"/>
            <w:r>
              <w:rPr>
                <w:sz w:val="20"/>
                <w:szCs w:val="20"/>
                <w:lang w:val="en-US"/>
              </w:rPr>
              <w:t xml:space="preserve"> Italia</w:t>
            </w:r>
          </w:p>
        </w:tc>
        <w:tc>
          <w:tcPr>
            <w:tcW w:w="130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4.020,62 €</w:t>
            </w:r>
          </w:p>
        </w:tc>
        <w:tc>
          <w:tcPr>
            <w:tcW w:w="1425"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482,47 €</w:t>
            </w:r>
          </w:p>
        </w:tc>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12%</w:t>
            </w:r>
          </w:p>
        </w:tc>
      </w:tr>
      <w:tr w:rsidR="00D54F75">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proofErr w:type="spellStart"/>
            <w:r>
              <w:t>Kasko</w:t>
            </w:r>
            <w:proofErr w:type="spellEnd"/>
            <w:r>
              <w:t xml:space="preserve"> cumulativa</w:t>
            </w:r>
          </w:p>
        </w:tc>
        <w:tc>
          <w:tcPr>
            <w:tcW w:w="1426"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231/118760690</w:t>
            </w:r>
          </w:p>
        </w:tc>
        <w:tc>
          <w:tcPr>
            <w:tcW w:w="1546" w:type="dxa"/>
            <w:tcBorders>
              <w:top w:val="single" w:sz="4" w:space="0" w:color="000000"/>
              <w:left w:val="single" w:sz="4" w:space="0" w:color="000000"/>
              <w:bottom w:val="single" w:sz="4" w:space="0" w:color="000000"/>
              <w:right w:val="single" w:sz="4" w:space="0" w:color="000000"/>
            </w:tcBorders>
          </w:tcPr>
          <w:p w:rsidR="00D54F75" w:rsidRDefault="005C5A8C">
            <w:pPr>
              <w:pStyle w:val="Contenutotabella"/>
              <w:ind w:left="32"/>
              <w:rPr>
                <w:sz w:val="20"/>
                <w:szCs w:val="20"/>
                <w:highlight w:val="red"/>
              </w:rPr>
            </w:pPr>
            <w:r>
              <w:rPr>
                <w:sz w:val="20"/>
                <w:szCs w:val="20"/>
              </w:rPr>
              <w:t xml:space="preserve">Unipol spa </w:t>
            </w:r>
            <w:proofErr w:type="spellStart"/>
            <w:r>
              <w:rPr>
                <w:sz w:val="20"/>
                <w:szCs w:val="20"/>
              </w:rPr>
              <w:t>Assicoop</w:t>
            </w:r>
            <w:proofErr w:type="spellEnd"/>
            <w:r>
              <w:rPr>
                <w:sz w:val="20"/>
                <w:szCs w:val="20"/>
              </w:rPr>
              <w:t xml:space="preserve"> Bologna Metropolitana</w:t>
            </w:r>
          </w:p>
        </w:tc>
        <w:tc>
          <w:tcPr>
            <w:tcW w:w="130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1.257,00 €</w:t>
            </w:r>
          </w:p>
        </w:tc>
        <w:tc>
          <w:tcPr>
            <w:tcW w:w="1425"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150,84 €</w:t>
            </w:r>
          </w:p>
        </w:tc>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12%</w:t>
            </w:r>
          </w:p>
        </w:tc>
      </w:tr>
      <w:tr w:rsidR="00D54F75">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RCA / ARD</w:t>
            </w:r>
          </w:p>
        </w:tc>
        <w:tc>
          <w:tcPr>
            <w:tcW w:w="1426"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204341902</w:t>
            </w:r>
          </w:p>
        </w:tc>
        <w:tc>
          <w:tcPr>
            <w:tcW w:w="1546" w:type="dxa"/>
            <w:tcBorders>
              <w:top w:val="single" w:sz="4" w:space="0" w:color="000000"/>
              <w:left w:val="single" w:sz="4" w:space="0" w:color="000000"/>
              <w:bottom w:val="single" w:sz="4" w:space="0" w:color="000000"/>
              <w:right w:val="single" w:sz="4" w:space="0" w:color="000000"/>
            </w:tcBorders>
          </w:tcPr>
          <w:p w:rsidR="00D54F75" w:rsidRDefault="005C5A8C">
            <w:pPr>
              <w:pStyle w:val="Contenutotabella"/>
              <w:ind w:left="32"/>
              <w:rPr>
                <w:sz w:val="20"/>
                <w:szCs w:val="20"/>
                <w:highlight w:val="red"/>
              </w:rPr>
            </w:pPr>
            <w:r>
              <w:rPr>
                <w:sz w:val="20"/>
                <w:szCs w:val="20"/>
              </w:rPr>
              <w:t>Galgano</w:t>
            </w:r>
          </w:p>
        </w:tc>
        <w:tc>
          <w:tcPr>
            <w:tcW w:w="130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4.337,24 €</w:t>
            </w:r>
          </w:p>
        </w:tc>
        <w:tc>
          <w:tcPr>
            <w:tcW w:w="1425"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216,86 €</w:t>
            </w:r>
          </w:p>
        </w:tc>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5%</w:t>
            </w:r>
          </w:p>
        </w:tc>
      </w:tr>
      <w:tr w:rsidR="00D54F75">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 xml:space="preserve">Incendio </w:t>
            </w:r>
            <w:proofErr w:type="spellStart"/>
            <w:r>
              <w:t>All</w:t>
            </w:r>
            <w:proofErr w:type="spellEnd"/>
            <w:r>
              <w:t xml:space="preserve"> </w:t>
            </w:r>
            <w:proofErr w:type="spellStart"/>
            <w:r>
              <w:t>risks</w:t>
            </w:r>
            <w:proofErr w:type="spellEnd"/>
          </w:p>
        </w:tc>
        <w:tc>
          <w:tcPr>
            <w:tcW w:w="1426"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411478012</w:t>
            </w:r>
          </w:p>
        </w:tc>
        <w:tc>
          <w:tcPr>
            <w:tcW w:w="1546" w:type="dxa"/>
            <w:tcBorders>
              <w:top w:val="single" w:sz="4" w:space="0" w:color="000000"/>
              <w:left w:val="single" w:sz="4" w:space="0" w:color="000000"/>
              <w:bottom w:val="single" w:sz="4" w:space="0" w:color="000000"/>
              <w:right w:val="single" w:sz="4" w:space="0" w:color="000000"/>
            </w:tcBorders>
          </w:tcPr>
          <w:p w:rsidR="00D54F75" w:rsidRDefault="005C5A8C">
            <w:pPr>
              <w:pStyle w:val="Contenutotabella"/>
              <w:ind w:left="32"/>
              <w:rPr>
                <w:sz w:val="20"/>
                <w:szCs w:val="20"/>
                <w:highlight w:val="red"/>
              </w:rPr>
            </w:pPr>
            <w:r>
              <w:rPr>
                <w:sz w:val="20"/>
                <w:szCs w:val="20"/>
              </w:rPr>
              <w:t>Gamboni Assicurazioni</w:t>
            </w:r>
          </w:p>
        </w:tc>
        <w:tc>
          <w:tcPr>
            <w:tcW w:w="130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16.247,03 €</w:t>
            </w:r>
          </w:p>
        </w:tc>
        <w:tc>
          <w:tcPr>
            <w:tcW w:w="1425"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1.949,64 €</w:t>
            </w:r>
          </w:p>
        </w:tc>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12%</w:t>
            </w:r>
          </w:p>
        </w:tc>
      </w:tr>
      <w:tr w:rsidR="00D54F75">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 xml:space="preserve">Incendio </w:t>
            </w:r>
            <w:proofErr w:type="spellStart"/>
            <w:r>
              <w:t>All</w:t>
            </w:r>
            <w:proofErr w:type="spellEnd"/>
            <w:r>
              <w:t xml:space="preserve"> </w:t>
            </w:r>
            <w:proofErr w:type="spellStart"/>
            <w:r>
              <w:t>risks</w:t>
            </w:r>
            <w:proofErr w:type="spellEnd"/>
          </w:p>
        </w:tc>
        <w:tc>
          <w:tcPr>
            <w:tcW w:w="1426"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rpotesto"/>
              <w:ind w:left="32"/>
              <w:jc w:val="left"/>
            </w:pPr>
            <w:r>
              <w:t>411477997</w:t>
            </w:r>
          </w:p>
        </w:tc>
        <w:tc>
          <w:tcPr>
            <w:tcW w:w="1546" w:type="dxa"/>
            <w:tcBorders>
              <w:top w:val="single" w:sz="4" w:space="0" w:color="000000"/>
              <w:left w:val="single" w:sz="4" w:space="0" w:color="000000"/>
              <w:bottom w:val="single" w:sz="4" w:space="0" w:color="000000"/>
              <w:right w:val="single" w:sz="4" w:space="0" w:color="000000"/>
            </w:tcBorders>
          </w:tcPr>
          <w:p w:rsidR="00D54F75" w:rsidRDefault="005C5A8C">
            <w:pPr>
              <w:pStyle w:val="Contenutotabella"/>
              <w:ind w:left="32"/>
              <w:rPr>
                <w:sz w:val="20"/>
                <w:szCs w:val="20"/>
                <w:highlight w:val="red"/>
              </w:rPr>
            </w:pPr>
            <w:r>
              <w:rPr>
                <w:sz w:val="20"/>
                <w:szCs w:val="20"/>
              </w:rPr>
              <w:t>Gamboni Assicurazioni</w:t>
            </w:r>
          </w:p>
        </w:tc>
        <w:tc>
          <w:tcPr>
            <w:tcW w:w="130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21.744,00 €</w:t>
            </w:r>
          </w:p>
        </w:tc>
        <w:tc>
          <w:tcPr>
            <w:tcW w:w="1425"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2.609,28 €</w:t>
            </w:r>
          </w:p>
        </w:tc>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sz w:val="20"/>
                <w:szCs w:val="20"/>
              </w:rPr>
            </w:pPr>
            <w:r>
              <w:rPr>
                <w:sz w:val="20"/>
                <w:szCs w:val="20"/>
              </w:rPr>
              <w:t>12%</w:t>
            </w:r>
          </w:p>
        </w:tc>
      </w:tr>
      <w:tr w:rsidR="00D54F75">
        <w:trPr>
          <w:trHeight w:val="454"/>
        </w:trPr>
        <w:tc>
          <w:tcPr>
            <w:tcW w:w="5699" w:type="dxa"/>
            <w:gridSpan w:val="4"/>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right"/>
              <w:rPr>
                <w:b/>
                <w:bCs/>
                <w:sz w:val="20"/>
                <w:szCs w:val="20"/>
              </w:rPr>
            </w:pPr>
            <w:r>
              <w:rPr>
                <w:b/>
                <w:bCs/>
                <w:sz w:val="20"/>
                <w:szCs w:val="20"/>
              </w:rPr>
              <w:t>TOTALE</w:t>
            </w:r>
          </w:p>
        </w:tc>
        <w:tc>
          <w:tcPr>
            <w:tcW w:w="1423"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b/>
                <w:bCs/>
                <w:sz w:val="20"/>
                <w:szCs w:val="20"/>
              </w:rPr>
            </w:pPr>
            <w:r>
              <w:rPr>
                <w:b/>
                <w:bCs/>
                <w:sz w:val="20"/>
                <w:szCs w:val="20"/>
              </w:rPr>
              <w:t>80.135,20 €</w:t>
            </w:r>
          </w:p>
        </w:tc>
        <w:tc>
          <w:tcPr>
            <w:tcW w:w="1425" w:type="dxa"/>
            <w:tcBorders>
              <w:top w:val="single" w:sz="4" w:space="0" w:color="000000"/>
              <w:left w:val="single" w:sz="4" w:space="0" w:color="000000"/>
              <w:bottom w:val="single" w:sz="4" w:space="0" w:color="000000"/>
              <w:right w:val="single" w:sz="4" w:space="0" w:color="000000"/>
            </w:tcBorders>
            <w:vAlign w:val="center"/>
          </w:tcPr>
          <w:p w:rsidR="00D54F75" w:rsidRDefault="005C5A8C">
            <w:pPr>
              <w:pStyle w:val="Contenutotabella"/>
              <w:ind w:left="32"/>
              <w:jc w:val="center"/>
              <w:rPr>
                <w:b/>
                <w:bCs/>
                <w:sz w:val="20"/>
                <w:szCs w:val="20"/>
              </w:rPr>
            </w:pPr>
            <w:r>
              <w:rPr>
                <w:b/>
                <w:bCs/>
                <w:sz w:val="20"/>
                <w:szCs w:val="20"/>
              </w:rPr>
              <w:t xml:space="preserve">9.312,62 € </w:t>
            </w:r>
          </w:p>
        </w:tc>
        <w:tc>
          <w:tcPr>
            <w:tcW w:w="1424" w:type="dxa"/>
            <w:tcBorders>
              <w:top w:val="single" w:sz="4" w:space="0" w:color="000000"/>
              <w:left w:val="single" w:sz="4" w:space="0" w:color="000000"/>
              <w:bottom w:val="single" w:sz="4" w:space="0" w:color="000000"/>
              <w:right w:val="single" w:sz="4" w:space="0" w:color="000000"/>
            </w:tcBorders>
            <w:vAlign w:val="center"/>
          </w:tcPr>
          <w:p w:rsidR="00D54F75" w:rsidRDefault="00D54F75">
            <w:pPr>
              <w:pStyle w:val="Contenutotabella"/>
              <w:ind w:left="32"/>
              <w:jc w:val="center"/>
              <w:rPr>
                <w:b/>
                <w:bCs/>
                <w:sz w:val="20"/>
                <w:szCs w:val="20"/>
              </w:rPr>
            </w:pPr>
          </w:p>
        </w:tc>
      </w:tr>
    </w:tbl>
    <w:p w:rsidR="00D54F75" w:rsidRDefault="00D54F75">
      <w:pPr>
        <w:ind w:left="32"/>
        <w:rPr>
          <w:sz w:val="20"/>
          <w:szCs w:val="20"/>
        </w:rPr>
      </w:pPr>
    </w:p>
    <w:p w:rsidR="00D54F75" w:rsidRDefault="00D54F75">
      <w:pPr>
        <w:pStyle w:val="Corpotesto"/>
        <w:ind w:left="32"/>
        <w:jc w:val="left"/>
      </w:pPr>
    </w:p>
    <w:p w:rsidR="00D54F75" w:rsidRDefault="005C5A8C">
      <w:pPr>
        <w:pStyle w:val="Corpotesto"/>
        <w:ind w:left="32"/>
      </w:pPr>
      <w:r>
        <w:t xml:space="preserve">Totale complessivo quadro economico </w:t>
      </w:r>
      <w:r>
        <w:rPr>
          <w:b/>
          <w:bCs/>
        </w:rPr>
        <w:t xml:space="preserve">€ 79.157,25 (Euro </w:t>
      </w:r>
      <w:proofErr w:type="spellStart"/>
      <w:r>
        <w:rPr>
          <w:b/>
          <w:bCs/>
        </w:rPr>
        <w:t>settantanovemilacentocinquantasette</w:t>
      </w:r>
      <w:proofErr w:type="spellEnd"/>
      <w:r>
        <w:rPr>
          <w:b/>
          <w:bCs/>
        </w:rPr>
        <w:t>/25)</w:t>
      </w:r>
      <w:r>
        <w:t>, comprensivo di eventuale proroga di quattro anni e proroga tecnica di sei mesi.</w:t>
      </w:r>
    </w:p>
    <w:p w:rsidR="00D54F75" w:rsidRDefault="00D54F75">
      <w:pPr>
        <w:pStyle w:val="Corpotesto"/>
        <w:ind w:left="32"/>
        <w:jc w:val="left"/>
      </w:pPr>
    </w:p>
    <w:p w:rsidR="00D54F75" w:rsidRDefault="00D54F75">
      <w:pPr>
        <w:pStyle w:val="Corpotesto"/>
        <w:ind w:left="32"/>
        <w:jc w:val="left"/>
      </w:pPr>
    </w:p>
    <w:p w:rsidR="00D54F75" w:rsidRPr="002F1DC3" w:rsidRDefault="005C5A8C">
      <w:pPr>
        <w:pStyle w:val="Corpotesto"/>
        <w:ind w:left="32"/>
        <w:jc w:val="left"/>
      </w:pPr>
      <w:r w:rsidRPr="002F1DC3">
        <w:t xml:space="preserve">Il Responsabile </w:t>
      </w:r>
    </w:p>
    <w:p w:rsidR="00D54F75" w:rsidRDefault="002F1DC3" w:rsidP="002F1DC3">
      <w:pPr>
        <w:pStyle w:val="Corpotesto"/>
        <w:jc w:val="left"/>
      </w:pPr>
      <w:r>
        <w:t xml:space="preserve">Dott. Fabrizio </w:t>
      </w:r>
      <w:proofErr w:type="spellStart"/>
      <w:r>
        <w:t>Simoncini</w:t>
      </w:r>
      <w:bookmarkStart w:id="0" w:name="_GoBack"/>
      <w:bookmarkEnd w:id="0"/>
      <w:proofErr w:type="spellEnd"/>
    </w:p>
    <w:sectPr w:rsidR="00D54F75">
      <w:pgSz w:w="12240" w:h="15840"/>
      <w:pgMar w:top="1417" w:right="1134" w:bottom="1134" w:left="1134" w:header="0" w:footer="0" w:gutter="0"/>
      <w:cols w:space="720"/>
      <w:formProt w:val="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8419F"/>
    <w:multiLevelType w:val="multilevel"/>
    <w:tmpl w:val="54B4D0FE"/>
    <w:lvl w:ilvl="0">
      <w:start w:val="1"/>
      <w:numFmt w:val="lowerLetter"/>
      <w:lvlText w:val="%1)"/>
      <w:lvlJc w:val="left"/>
      <w:pPr>
        <w:tabs>
          <w:tab w:val="num" w:pos="0"/>
        </w:tabs>
        <w:ind w:left="540" w:hanging="267"/>
      </w:pPr>
      <w:rPr>
        <w:rFonts w:ascii="Georgia" w:eastAsia="Segoe UI Symbol" w:hAnsi="Georgia" w:cs="Segoe UI Symbol"/>
        <w:b w:val="0"/>
        <w:bCs w:val="0"/>
        <w:i w:val="0"/>
        <w:iCs w:val="0"/>
        <w:strike w:val="0"/>
        <w:dstrike w:val="0"/>
        <w:color w:val="auto"/>
        <w:spacing w:val="0"/>
        <w:w w:val="104"/>
        <w:position w:val="0"/>
        <w:sz w:val="20"/>
        <w:szCs w:val="20"/>
        <w:vertAlign w:val="baseline"/>
        <w:lang w:val="it-IT" w:eastAsia="en-US" w:bidi="ar-SA"/>
      </w:rPr>
    </w:lvl>
    <w:lvl w:ilvl="1">
      <w:numFmt w:val="bullet"/>
      <w:lvlText w:val=""/>
      <w:lvlJc w:val="left"/>
      <w:pPr>
        <w:tabs>
          <w:tab w:val="num" w:pos="0"/>
        </w:tabs>
        <w:ind w:left="1458" w:hanging="267"/>
      </w:pPr>
      <w:rPr>
        <w:rFonts w:ascii="Symbol" w:hAnsi="Symbol" w:cs="Symbol" w:hint="default"/>
        <w:lang w:val="it-IT" w:eastAsia="en-US" w:bidi="ar-SA"/>
      </w:rPr>
    </w:lvl>
    <w:lvl w:ilvl="2">
      <w:numFmt w:val="bullet"/>
      <w:lvlText w:val=""/>
      <w:lvlJc w:val="left"/>
      <w:pPr>
        <w:tabs>
          <w:tab w:val="num" w:pos="0"/>
        </w:tabs>
        <w:ind w:left="2376" w:hanging="267"/>
      </w:pPr>
      <w:rPr>
        <w:rFonts w:ascii="Symbol" w:hAnsi="Symbol" w:cs="Symbol" w:hint="default"/>
        <w:lang w:val="it-IT" w:eastAsia="en-US" w:bidi="ar-SA"/>
      </w:rPr>
    </w:lvl>
    <w:lvl w:ilvl="3">
      <w:numFmt w:val="bullet"/>
      <w:lvlText w:val=""/>
      <w:lvlJc w:val="left"/>
      <w:pPr>
        <w:tabs>
          <w:tab w:val="num" w:pos="0"/>
        </w:tabs>
        <w:ind w:left="3294" w:hanging="267"/>
      </w:pPr>
      <w:rPr>
        <w:rFonts w:ascii="Symbol" w:hAnsi="Symbol" w:cs="Symbol" w:hint="default"/>
        <w:lang w:val="it-IT" w:eastAsia="en-US" w:bidi="ar-SA"/>
      </w:rPr>
    </w:lvl>
    <w:lvl w:ilvl="4">
      <w:numFmt w:val="bullet"/>
      <w:lvlText w:val=""/>
      <w:lvlJc w:val="left"/>
      <w:pPr>
        <w:tabs>
          <w:tab w:val="num" w:pos="0"/>
        </w:tabs>
        <w:ind w:left="4212" w:hanging="267"/>
      </w:pPr>
      <w:rPr>
        <w:rFonts w:ascii="Symbol" w:hAnsi="Symbol" w:cs="Symbol" w:hint="default"/>
        <w:lang w:val="it-IT" w:eastAsia="en-US" w:bidi="ar-SA"/>
      </w:rPr>
    </w:lvl>
    <w:lvl w:ilvl="5">
      <w:numFmt w:val="bullet"/>
      <w:lvlText w:val=""/>
      <w:lvlJc w:val="left"/>
      <w:pPr>
        <w:tabs>
          <w:tab w:val="num" w:pos="0"/>
        </w:tabs>
        <w:ind w:left="5130" w:hanging="267"/>
      </w:pPr>
      <w:rPr>
        <w:rFonts w:ascii="Symbol" w:hAnsi="Symbol" w:cs="Symbol" w:hint="default"/>
        <w:lang w:val="it-IT" w:eastAsia="en-US" w:bidi="ar-SA"/>
      </w:rPr>
    </w:lvl>
    <w:lvl w:ilvl="6">
      <w:numFmt w:val="bullet"/>
      <w:lvlText w:val=""/>
      <w:lvlJc w:val="left"/>
      <w:pPr>
        <w:tabs>
          <w:tab w:val="num" w:pos="0"/>
        </w:tabs>
        <w:ind w:left="6048" w:hanging="267"/>
      </w:pPr>
      <w:rPr>
        <w:rFonts w:ascii="Symbol" w:hAnsi="Symbol" w:cs="Symbol" w:hint="default"/>
        <w:lang w:val="it-IT" w:eastAsia="en-US" w:bidi="ar-SA"/>
      </w:rPr>
    </w:lvl>
    <w:lvl w:ilvl="7">
      <w:numFmt w:val="bullet"/>
      <w:lvlText w:val=""/>
      <w:lvlJc w:val="left"/>
      <w:pPr>
        <w:tabs>
          <w:tab w:val="num" w:pos="0"/>
        </w:tabs>
        <w:ind w:left="6966" w:hanging="267"/>
      </w:pPr>
      <w:rPr>
        <w:rFonts w:ascii="Symbol" w:hAnsi="Symbol" w:cs="Symbol" w:hint="default"/>
        <w:lang w:val="it-IT" w:eastAsia="en-US" w:bidi="ar-SA"/>
      </w:rPr>
    </w:lvl>
    <w:lvl w:ilvl="8">
      <w:numFmt w:val="bullet"/>
      <w:lvlText w:val=""/>
      <w:lvlJc w:val="left"/>
      <w:pPr>
        <w:tabs>
          <w:tab w:val="num" w:pos="0"/>
        </w:tabs>
        <w:ind w:left="7884" w:hanging="267"/>
      </w:pPr>
      <w:rPr>
        <w:rFonts w:ascii="Symbol" w:hAnsi="Symbol" w:cs="Symbol" w:hint="default"/>
        <w:lang w:val="it-IT" w:eastAsia="en-US" w:bidi="ar-SA"/>
      </w:rPr>
    </w:lvl>
  </w:abstractNum>
  <w:abstractNum w:abstractNumId="1" w15:restartNumberingAfterBreak="0">
    <w:nsid w:val="247271AA"/>
    <w:multiLevelType w:val="multilevel"/>
    <w:tmpl w:val="954E7D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F75"/>
    <w:rsid w:val="002C4BE1"/>
    <w:rsid w:val="002F1DC3"/>
    <w:rsid w:val="005C5A8C"/>
    <w:rsid w:val="00D54F7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85DC4"/>
  <w15:docId w15:val="{DC3641D8-CF92-4106-AC6B-8994B1370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pPr>
    <w:rPr>
      <w:rFonts w:ascii="Georgia" w:eastAsia="Georgia" w:hAnsi="Georgia" w:cs="Georgia"/>
      <w:lang w:val="it-IT"/>
    </w:rPr>
  </w:style>
  <w:style w:type="paragraph" w:styleId="Titolo1">
    <w:name w:val="heading 1"/>
    <w:basedOn w:val="Normale"/>
    <w:uiPriority w:val="9"/>
    <w:qFormat/>
    <w:pPr>
      <w:ind w:left="303" w:right="6"/>
      <w:jc w:val="center"/>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D22A90"/>
    <w:rPr>
      <w:rFonts w:ascii="Georgia" w:eastAsia="Georgia" w:hAnsi="Georgia" w:cs="Georgia"/>
      <w:lang w:val="it-IT"/>
    </w:rPr>
  </w:style>
  <w:style w:type="character" w:customStyle="1" w:styleId="PidipaginaCarattere">
    <w:name w:val="Piè di pagina Carattere"/>
    <w:basedOn w:val="Carpredefinitoparagrafo"/>
    <w:link w:val="Pidipagina"/>
    <w:uiPriority w:val="99"/>
    <w:qFormat/>
    <w:rsid w:val="00D22A90"/>
    <w:rPr>
      <w:rFonts w:ascii="Georgia" w:eastAsia="Georgia" w:hAnsi="Georgia" w:cs="Georgia"/>
      <w:lang w:val="it-IT"/>
    </w:rPr>
  </w:style>
  <w:style w:type="paragraph" w:styleId="Titolo">
    <w:name w:val="Title"/>
    <w:basedOn w:val="Normale"/>
    <w:next w:val="Corpotesto"/>
    <w:uiPriority w:val="10"/>
    <w:qFormat/>
    <w:pPr>
      <w:keepNext/>
      <w:spacing w:before="240" w:after="120"/>
    </w:pPr>
    <w:rPr>
      <w:rFonts w:ascii="Liberation Sans" w:eastAsia="Microsoft YaHei" w:hAnsi="Liberation Sans" w:cs="Lucida Sans"/>
      <w:sz w:val="28"/>
      <w:szCs w:val="28"/>
    </w:rPr>
  </w:style>
  <w:style w:type="paragraph" w:styleId="Corpotesto">
    <w:name w:val="Body Text"/>
    <w:basedOn w:val="Normale"/>
    <w:uiPriority w:val="1"/>
    <w:qFormat/>
    <w:pPr>
      <w:jc w:val="both"/>
    </w:pPr>
    <w:rPr>
      <w:sz w:val="20"/>
      <w:szCs w:val="20"/>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1"/>
    <w:qFormat/>
    <w:pPr>
      <w:ind w:left="542" w:right="651" w:hanging="269"/>
      <w:jc w:val="both"/>
    </w:pPr>
  </w:style>
  <w:style w:type="paragraph" w:customStyle="1" w:styleId="TableParagraph">
    <w:name w:val="Table Paragraph"/>
    <w:basedOn w:val="Normale"/>
    <w:uiPriority w:val="1"/>
    <w:qFormat/>
  </w:style>
  <w:style w:type="paragraph" w:customStyle="1" w:styleId="Contenutocornice">
    <w:name w:val="Contenuto cornice"/>
    <w:basedOn w:val="Normale"/>
    <w:qFormat/>
  </w:style>
  <w:style w:type="paragraph" w:customStyle="1" w:styleId="Contenutocorniceuser">
    <w:name w:val="Contenuto cornice (user)"/>
    <w:basedOn w:val="Normale"/>
    <w:qFormat/>
  </w:style>
  <w:style w:type="paragraph" w:customStyle="1" w:styleId="Contenutotabella">
    <w:name w:val="Contenuto tabella"/>
    <w:basedOn w:val="Normale"/>
    <w:qFormat/>
    <w:pPr>
      <w:suppressLineNumbers/>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D22A90"/>
    <w:pPr>
      <w:tabs>
        <w:tab w:val="center" w:pos="4819"/>
        <w:tab w:val="right" w:pos="9638"/>
      </w:tabs>
    </w:pPr>
  </w:style>
  <w:style w:type="paragraph" w:styleId="Pidipagina">
    <w:name w:val="footer"/>
    <w:basedOn w:val="Normale"/>
    <w:link w:val="PidipaginaCarattere"/>
    <w:uiPriority w:val="99"/>
    <w:unhideWhenUsed/>
    <w:rsid w:val="00D22A90"/>
    <w:pPr>
      <w:tabs>
        <w:tab w:val="center" w:pos="4819"/>
        <w:tab w:val="right" w:pos="9638"/>
      </w:tabs>
    </w:p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Grigliatabella">
    <w:name w:val="Table Grid"/>
    <w:basedOn w:val="Tabellanormale"/>
    <w:uiPriority w:val="39"/>
    <w:rsid w:val="00BD3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CE5203"/>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ellasemplice-2">
    <w:name w:val="Plain Table 2"/>
    <w:basedOn w:val="Tabellanormale"/>
    <w:uiPriority w:val="42"/>
    <w:rsid w:val="00CE520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4">
    <w:name w:val="Plain Table 4"/>
    <w:basedOn w:val="Tabellanormale"/>
    <w:uiPriority w:val="44"/>
    <w:rsid w:val="00CE520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1116</Words>
  <Characters>7129</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Tiziana Marchi</dc:creator>
  <dc:description/>
  <cp:lastModifiedBy>marchi-tz-a7dg</cp:lastModifiedBy>
  <cp:revision>4</cp:revision>
  <dcterms:created xsi:type="dcterms:W3CDTF">2026-10-05T10:04:00Z</dcterms:created>
  <dcterms:modified xsi:type="dcterms:W3CDTF">2026-10-07T08:32:00Z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7b247-e90e-43a3-9d7b-004f14ae6873_ActionId">
    <vt:lpwstr>b398c448-70f2-4f36-8096-285477ee4545</vt:lpwstr>
  </property>
  <property fmtid="{D5CDD505-2E9C-101B-9397-08002B2CF9AE}" pid="3" name="MSIP_Label_d347b247-e90e-43a3-9d7b-004f14ae6873_ContentBits">
    <vt:lpwstr>0</vt:lpwstr>
  </property>
  <property fmtid="{D5CDD505-2E9C-101B-9397-08002B2CF9AE}" pid="4" name="MSIP_Label_d347b247-e90e-43a3-9d7b-004f14ae6873_Enabled">
    <vt:lpwstr>true</vt:lpwstr>
  </property>
  <property fmtid="{D5CDD505-2E9C-101B-9397-08002B2CF9AE}" pid="5" name="MSIP_Label_d347b247-e90e-43a3-9d7b-004f14ae6873_Method">
    <vt:lpwstr>Standard</vt:lpwstr>
  </property>
  <property fmtid="{D5CDD505-2E9C-101B-9397-08002B2CF9AE}" pid="6" name="MSIP_Label_d347b247-e90e-43a3-9d7b-004f14ae6873_Name">
    <vt:lpwstr>d347b247-e90e-43a3-9d7b-004f14ae6873</vt:lpwstr>
  </property>
  <property fmtid="{D5CDD505-2E9C-101B-9397-08002B2CF9AE}" pid="7" name="MSIP_Label_d347b247-e90e-43a3-9d7b-004f14ae6873_SetDate">
    <vt:lpwstr>2026-07-28T09:42:06Z</vt:lpwstr>
  </property>
  <property fmtid="{D5CDD505-2E9C-101B-9397-08002B2CF9AE}" pid="8" name="MSIP_Label_d347b247-e90e-43a3-9d7b-004f14ae6873_SiteId">
    <vt:lpwstr>76e3921f-489b-4b7e-9547-9ea297add9b5</vt:lpwstr>
  </property>
  <property fmtid="{D5CDD505-2E9C-101B-9397-08002B2CF9AE}" pid="9" name="MSIP_Label_d347b247-e90e-43a3-9d7b-004f14ae6873_Tag">
    <vt:lpwstr>10, 3, 0, 1</vt:lpwstr>
  </property>
</Properties>
</file>